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789650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82fad9e-4303-40e0-b615-d8bb07699b65" w:id="1"/>
      <w:r>
        <w:rPr>
          <w:rFonts w:ascii="Times New Roman" w:hAnsi="Times New Roman"/>
          <w:b/>
          <w:i w:val="false"/>
          <w:color w:val="000000"/>
          <w:sz w:val="28"/>
        </w:rPr>
        <w:t>Министерство образования саратовской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f11d21d1-8bec-4df3-85d2-f4d0bca3e7ae" w:id="2"/>
      <w:r>
        <w:rPr>
          <w:rFonts w:ascii="Times New Roman" w:hAnsi="Times New Roman"/>
          <w:b/>
          <w:i w:val="false"/>
          <w:color w:val="000000"/>
          <w:sz w:val="28"/>
        </w:rPr>
        <w:t>Администрация Екатериновского муниципального района Саратовской области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№1 р.п. Екатериновка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Варыгина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Варыгина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 1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Янкина Л.А.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3689729)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f40cabc-1e83-4907-ad8f-f4ef8375b8cd" w:id="3"/>
      <w:r>
        <w:rPr>
          <w:rFonts w:ascii="Times New Roman" w:hAnsi="Times New Roman"/>
          <w:b/>
          <w:i w:val="false"/>
          <w:color w:val="000000"/>
          <w:sz w:val="28"/>
        </w:rPr>
        <w:t>Екатериновка</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7896507" w:id="5"/>
    <w:p>
      <w:pPr>
        <w:sectPr>
          <w:pgSz w:w="11906" w:h="16383" w:orient="portrait"/>
        </w:sectPr>
      </w:pPr>
    </w:p>
    <w:bookmarkEnd w:id="5"/>
    <w:bookmarkEnd w:id="0"/>
    <w:bookmarkStart w:name="block-27896508"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27896508" w:id="8"/>
    <w:p>
      <w:pPr>
        <w:sectPr>
          <w:pgSz w:w="11906" w:h="16383" w:orient="portrait"/>
        </w:sectPr>
      </w:pPr>
    </w:p>
    <w:bookmarkEnd w:id="8"/>
    <w:bookmarkEnd w:id="6"/>
    <w:bookmarkStart w:name="block-27896506"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13"/>
      <w:r>
        <w:rPr>
          <w:rFonts w:ascii="Times New Roman" w:hAnsi="Times New Roman"/>
          <w:b w:val="false"/>
          <w:i w:val="false"/>
          <w:color w:val="000000"/>
          <w:sz w:val="28"/>
        </w:rPr>
        <w:t>и другие.</w:t>
      </w:r>
      <w:bookmarkEnd w:id="1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6"/>
      <w:r>
        <w:rPr>
          <w:rFonts w:ascii="Times New Roman" w:hAnsi="Times New Roman"/>
          <w:b w:val="false"/>
          <w:i w:val="false"/>
          <w:color w:val="333333"/>
          <w:sz w:val="28"/>
        </w:rPr>
        <w:t>и другие (по выбору).</w:t>
      </w:r>
      <w:bookmarkEnd w:id="1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20"/>
      <w:r>
        <w:rPr>
          <w:rFonts w:ascii="Times New Roman" w:hAnsi="Times New Roman"/>
          <w:b w:val="false"/>
          <w:i w:val="false"/>
          <w:color w:val="000000"/>
          <w:sz w:val="28"/>
        </w:rPr>
        <w:t>(1-2 произведения) и другие.</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4"/>
      <w:r>
        <w:rPr>
          <w:rFonts w:ascii="Times New Roman" w:hAnsi="Times New Roman"/>
          <w:b w:val="false"/>
          <w:i w:val="false"/>
          <w:color w:val="000000"/>
          <w:sz w:val="28"/>
        </w:rPr>
        <w:t>М. М. Зощенко и др.</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4"/>
      <w:r>
        <w:rPr>
          <w:rFonts w:ascii="Times New Roman" w:hAnsi="Times New Roman"/>
          <w:b w:val="false"/>
          <w:i w:val="false"/>
          <w:color w:val="333333"/>
          <w:sz w:val="28"/>
        </w:rPr>
        <w:t>и другие (по выбору).</w:t>
      </w:r>
      <w:bookmarkEnd w:id="7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9"/>
      <w:r>
        <w:rPr>
          <w:rFonts w:ascii="Times New Roman" w:hAnsi="Times New Roman"/>
          <w:b w:val="false"/>
          <w:i w:val="false"/>
          <w:color w:val="333333"/>
          <w:sz w:val="28"/>
        </w:rPr>
        <w:t>и другие (по выбору).</w:t>
      </w:r>
      <w:bookmarkEnd w:id="79"/>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27896506" w:id="91"/>
    <w:p>
      <w:pPr>
        <w:sectPr>
          <w:pgSz w:w="11906" w:h="16383" w:orient="portrait"/>
        </w:sectPr>
      </w:pPr>
    </w:p>
    <w:bookmarkEnd w:id="91"/>
    <w:bookmarkEnd w:id="9"/>
    <w:bookmarkStart w:name="block-27896510"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27896510" w:id="93"/>
    <w:p>
      <w:pPr>
        <w:sectPr>
          <w:pgSz w:w="11906" w:h="16383" w:orient="portrait"/>
        </w:sectPr>
      </w:pPr>
    </w:p>
    <w:bookmarkEnd w:id="93"/>
    <w:bookmarkEnd w:id="92"/>
    <w:bookmarkStart w:name="block-27896509"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27896509" w:id="95"/>
    <w:p>
      <w:pPr>
        <w:sectPr>
          <w:pgSz w:w="16383" w:h="11906" w:orient="landscape"/>
        </w:sectPr>
      </w:pPr>
    </w:p>
    <w:bookmarkEnd w:id="95"/>
    <w:bookmarkEnd w:id="94"/>
    <w:bookmarkStart w:name="block-27896513"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15" w:type="dxa"/>
            <w:tcBorders/>
            <w:tcMar>
              <w:top w:w="50" w:type="dxa"/>
              <w:left w:w="100" w:type="dxa"/>
            </w:tcMar>
            <w:vAlign w:val="center"/>
          </w:tcPr>
          <w:p>
            <w:pPr>
              <w:spacing w:before="0" w:after="0"/>
              <w:ind w:left="135"/>
              <w:jc w:val="left"/>
            </w:pPr>
          </w:p>
        </w:tc>
      </w:tr>
      <w:tr>
        <w:trPr>
          <w:trHeight w:val="234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15" w:type="dxa"/>
            <w:tcBorders/>
            <w:tcMar>
              <w:top w:w="50" w:type="dxa"/>
              <w:left w:w="100" w:type="dxa"/>
            </w:tcMar>
            <w:vAlign w:val="center"/>
          </w:tcPr>
          <w:p>
            <w:pPr>
              <w:spacing w:before="0" w:after="0"/>
              <w:ind w:left="135"/>
              <w:jc w:val="left"/>
            </w:pPr>
          </w:p>
        </w:tc>
      </w:tr>
      <w:tr>
        <w:trPr>
          <w:trHeight w:val="19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5" w:type="dxa"/>
            <w:tcBorders/>
            <w:tcMar>
              <w:top w:w="50" w:type="dxa"/>
              <w:left w:w="100" w:type="dxa"/>
            </w:tcMar>
            <w:vAlign w:val="center"/>
          </w:tcPr>
          <w:p>
            <w:pPr>
              <w:spacing w:before="0" w:after="0"/>
              <w:ind w:left="135"/>
              <w:jc w:val="left"/>
            </w:pPr>
          </w:p>
        </w:tc>
      </w:tr>
      <w:tr>
        <w:trPr>
          <w:trHeight w:val="17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15" w:type="dxa"/>
            <w:tcBorders/>
            <w:tcMar>
              <w:top w:w="50" w:type="dxa"/>
              <w:left w:w="100" w:type="dxa"/>
            </w:tcMar>
            <w:vAlign w:val="center"/>
          </w:tcPr>
          <w:p>
            <w:pPr>
              <w:spacing w:before="0" w:after="0"/>
              <w:ind w:left="135"/>
              <w:jc w:val="left"/>
            </w:pPr>
          </w:p>
        </w:tc>
      </w:tr>
      <w:tr>
        <w:trPr>
          <w:trHeight w:val="366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15" w:type="dxa"/>
            <w:tcBorders/>
            <w:tcMar>
              <w:top w:w="50" w:type="dxa"/>
              <w:left w:w="100" w:type="dxa"/>
            </w:tcMar>
            <w:vAlign w:val="center"/>
          </w:tcPr>
          <w:p>
            <w:pPr>
              <w:spacing w:before="0" w:after="0"/>
              <w:ind w:left="135"/>
              <w:jc w:val="left"/>
            </w:pPr>
          </w:p>
        </w:tc>
      </w:tr>
      <w:tr>
        <w:trPr>
          <w:trHeight w:val="414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15" w:type="dxa"/>
            <w:tcBorders/>
            <w:tcMar>
              <w:top w:w="50" w:type="dxa"/>
              <w:left w:w="100" w:type="dxa"/>
            </w:tcMar>
            <w:vAlign w:val="center"/>
          </w:tcPr>
          <w:p>
            <w:pPr>
              <w:spacing w:before="0" w:after="0"/>
              <w:ind w:left="135"/>
              <w:jc w:val="left"/>
            </w:pPr>
          </w:p>
        </w:tc>
      </w:tr>
      <w:tr>
        <w:trPr>
          <w:trHeight w:val="23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5" w:type="dxa"/>
            <w:tcBorders/>
            <w:tcMar>
              <w:top w:w="50" w:type="dxa"/>
              <w:left w:w="100" w:type="dxa"/>
            </w:tcMar>
            <w:vAlign w:val="center"/>
          </w:tcPr>
          <w:p>
            <w:pPr>
              <w:spacing w:before="0" w:after="0"/>
              <w:ind w:left="135"/>
              <w:jc w:val="left"/>
            </w:pPr>
          </w:p>
        </w:tc>
      </w:tr>
      <w:tr>
        <w:trPr>
          <w:trHeight w:val="28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15" w:type="dxa"/>
            <w:tcBorders/>
            <w:tcMar>
              <w:top w:w="50" w:type="dxa"/>
              <w:left w:w="100" w:type="dxa"/>
            </w:tcMar>
            <w:vAlign w:val="center"/>
          </w:tcPr>
          <w:p>
            <w:pPr>
              <w:spacing w:before="0" w:after="0"/>
              <w:ind w:left="135"/>
              <w:jc w:val="left"/>
            </w:pPr>
          </w:p>
        </w:tc>
      </w:tr>
      <w:tr>
        <w:trPr>
          <w:trHeight w:val="22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15" w:type="dxa"/>
            <w:tcBorders/>
            <w:tcMar>
              <w:top w:w="50" w:type="dxa"/>
              <w:left w:w="100" w:type="dxa"/>
            </w:tcMar>
            <w:vAlign w:val="center"/>
          </w:tcPr>
          <w:p>
            <w:pPr>
              <w:spacing w:before="0" w:after="0"/>
              <w:ind w:left="135"/>
              <w:jc w:val="left"/>
            </w:pPr>
          </w:p>
        </w:tc>
      </w:tr>
      <w:tr>
        <w:trPr>
          <w:trHeight w:val="25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15" w:type="dxa"/>
            <w:tcBorders/>
            <w:tcMar>
              <w:top w:w="50" w:type="dxa"/>
              <w:left w:w="100" w:type="dxa"/>
            </w:tcMar>
            <w:vAlign w:val="center"/>
          </w:tcPr>
          <w:p>
            <w:pPr>
              <w:spacing w:before="0" w:after="0"/>
              <w:ind w:left="135"/>
              <w:jc w:val="left"/>
            </w:pPr>
          </w:p>
        </w:tc>
      </w:tr>
      <w:tr>
        <w:trPr>
          <w:trHeight w:val="23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15" w:type="dxa"/>
            <w:tcBorders/>
            <w:tcMar>
              <w:top w:w="50" w:type="dxa"/>
              <w:left w:w="100" w:type="dxa"/>
            </w:tcMar>
            <w:vAlign w:val="center"/>
          </w:tcPr>
          <w:p>
            <w:pPr>
              <w:spacing w:before="0" w:after="0"/>
              <w:ind w:left="135"/>
              <w:jc w:val="left"/>
            </w:pPr>
          </w:p>
        </w:tc>
      </w:tr>
      <w:tr>
        <w:trPr>
          <w:trHeight w:val="16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15" w:type="dxa"/>
            <w:tcBorders/>
            <w:tcMar>
              <w:top w:w="50" w:type="dxa"/>
              <w:left w:w="100" w:type="dxa"/>
            </w:tcMar>
            <w:vAlign w:val="center"/>
          </w:tcPr>
          <w:p>
            <w:pPr>
              <w:spacing w:before="0" w:after="0"/>
              <w:ind w:left="135"/>
              <w:jc w:val="left"/>
            </w:pPr>
          </w:p>
        </w:tc>
      </w:tr>
      <w:tr>
        <w:trPr>
          <w:trHeight w:val="20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5" w:type="dxa"/>
            <w:tcBorders/>
            <w:tcMar>
              <w:top w:w="50" w:type="dxa"/>
              <w:left w:w="100" w:type="dxa"/>
            </w:tcMar>
            <w:vAlign w:val="center"/>
          </w:tcPr>
          <w:p>
            <w:pPr>
              <w:spacing w:before="0" w:after="0"/>
              <w:ind w:left="135"/>
              <w:jc w:val="left"/>
            </w:pPr>
          </w:p>
        </w:tc>
      </w:tr>
      <w:tr>
        <w:trPr>
          <w:trHeight w:val="22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5" w:type="dxa"/>
            <w:tcBorders/>
            <w:tcMar>
              <w:top w:w="50" w:type="dxa"/>
              <w:left w:w="100" w:type="dxa"/>
            </w:tcMar>
            <w:vAlign w:val="center"/>
          </w:tcPr>
          <w:p>
            <w:pPr>
              <w:spacing w:before="0" w:after="0"/>
              <w:ind w:left="135"/>
              <w:jc w:val="left"/>
            </w:pPr>
          </w:p>
        </w:tc>
      </w:tr>
      <w:tr>
        <w:trPr>
          <w:trHeight w:val="25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15" w:type="dxa"/>
            <w:tcBorders/>
            <w:tcMar>
              <w:top w:w="50" w:type="dxa"/>
              <w:left w:w="100" w:type="dxa"/>
            </w:tcMar>
            <w:vAlign w:val="center"/>
          </w:tcPr>
          <w:p>
            <w:pPr>
              <w:spacing w:before="0" w:after="0"/>
              <w:ind w:left="135"/>
              <w:jc w:val="left"/>
            </w:pPr>
          </w:p>
        </w:tc>
      </w:tr>
      <w:tr>
        <w:trPr>
          <w:trHeight w:val="17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21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2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896513" w:id="97"/>
    <w:p>
      <w:pPr>
        <w:sectPr>
          <w:pgSz w:w="16383" w:h="11906" w:orient="landscape"/>
        </w:sectPr>
      </w:pPr>
    </w:p>
    <w:bookmarkEnd w:id="97"/>
    <w:bookmarkEnd w:id="96"/>
    <w:bookmarkStart w:name="block-27896511"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6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9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5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4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2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7896511" w:id="99"/>
    <w:p>
      <w:pPr>
        <w:sectPr>
          <w:pgSz w:w="16383" w:h="11906" w:orient="landscape"/>
        </w:sectPr>
      </w:pPr>
    </w:p>
    <w:bookmarkEnd w:id="99"/>
    <w:bookmarkEnd w:id="98"/>
    <w:bookmarkStart w:name="block-27896512"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ffad5d6-e7c5-4217-a5f0-770d8e0e87a8" w:id="101"/>
      <w:r>
        <w:rPr>
          <w:rFonts w:ascii="Times New Roman" w:hAnsi="Times New Roman"/>
          <w:b w:val="false"/>
          <w:i w:val="false"/>
          <w:color w:val="000000"/>
          <w:sz w:val="28"/>
        </w:rPr>
        <w:t>• Литературное чтение (в 2 частях), 2 класс/ Климанова Л.Ф., Горецкий В.Г., Голованова М.В. и другие, Акционерное общество «Издательство «Просвещение»</w:t>
      </w:r>
      <w:bookmarkEnd w:id="10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455677a-27ca-4068-ae57-28f9d9f99a29" w:id="102"/>
      <w:r>
        <w:rPr>
          <w:rFonts w:ascii="Times New Roman" w:hAnsi="Times New Roman"/>
          <w:b w:val="false"/>
          <w:i w:val="false"/>
          <w:color w:val="000000"/>
          <w:sz w:val="28"/>
        </w:rPr>
        <w:t xml:space="preserve"> 1. Л.Ф. Климанова В.Г. Горецкий Литературное чтение Рабочие программы 1-4 М.: Просвещение , 2014 </w:t>
      </w:r>
      <w:bookmarkEnd w:id="102"/>
      <w:r>
        <w:rPr>
          <w:sz w:val="28"/>
        </w:rPr>
        <w:br/>
      </w:r>
      <w:bookmarkStart w:name="d455677a-27ca-4068-ae57-28f9d9f99a29" w:id="103"/>
      <w:r>
        <w:rPr>
          <w:rFonts w:ascii="Times New Roman" w:hAnsi="Times New Roman"/>
          <w:b w:val="false"/>
          <w:i w:val="false"/>
          <w:color w:val="000000"/>
          <w:sz w:val="28"/>
        </w:rPr>
        <w:t xml:space="preserve"> 2. Л.Ф. Климанова. Литературное чтение Учебник.2 класс. В 2 ч. – М.: Просвещение, 2012 </w:t>
      </w:r>
      <w:bookmarkEnd w:id="103"/>
      <w:r>
        <w:rPr>
          <w:sz w:val="28"/>
        </w:rPr>
        <w:br/>
      </w:r>
      <w:bookmarkStart w:name="d455677a-27ca-4068-ae57-28f9d9f99a29" w:id="104"/>
      <w:r>
        <w:rPr>
          <w:rFonts w:ascii="Times New Roman" w:hAnsi="Times New Roman"/>
          <w:b w:val="false"/>
          <w:i w:val="false"/>
          <w:color w:val="000000"/>
          <w:sz w:val="28"/>
        </w:rPr>
        <w:t xml:space="preserve"> 3. Л.Ф. Климанова. Литературное чтение Рабочая тетрадь. 2 класс. В 2 ч. – М.: Просвещение,2012,2013</w:t>
      </w:r>
      <w:bookmarkEnd w:id="104"/>
      <w:r>
        <w:rPr>
          <w:sz w:val="28"/>
        </w:rPr>
        <w:br/>
      </w:r>
      <w:bookmarkStart w:name="d455677a-27ca-4068-ae57-28f9d9f99a29" w:id="105"/>
      <w:r>
        <w:rPr>
          <w:rFonts w:ascii="Times New Roman" w:hAnsi="Times New Roman"/>
          <w:b w:val="false"/>
          <w:i w:val="false"/>
          <w:color w:val="000000"/>
          <w:sz w:val="28"/>
        </w:rPr>
        <w:t xml:space="preserve"> 4. Литературное чтение. Электронное приложение к учебнику Л.Ф. Климанова «Литературное чтение» (CD)</w:t>
      </w:r>
      <w:bookmarkEnd w:id="105"/>
      <w:r>
        <w:rPr>
          <w:sz w:val="28"/>
        </w:rPr>
        <w:br/>
      </w:r>
      <w:r>
        <w:rPr>
          <w:sz w:val="28"/>
        </w:rPr>
        <w:br/>
      </w:r>
      <w:bookmarkStart w:name="d455677a-27ca-4068-ae57-28f9d9f99a29" w:id="106"/>
      <w:bookmarkEnd w:id="10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ead47bee-61c2-4353-b0fd-07c1eef54e3f" w:id="107"/>
      <w:r>
        <w:rPr>
          <w:rFonts w:ascii="Times New Roman" w:hAnsi="Times New Roman"/>
          <w:b w:val="false"/>
          <w:i w:val="false"/>
          <w:color w:val="000000"/>
          <w:sz w:val="28"/>
        </w:rPr>
        <w:t>Библиотека ЦОК</w:t>
      </w:r>
      <w:bookmarkEnd w:id="107"/>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7896512" w:id="108"/>
    <w:p>
      <w:pPr>
        <w:sectPr>
          <w:pgSz w:w="11906" w:h="16383" w:orient="portrait"/>
        </w:sectPr>
      </w:pPr>
    </w:p>
    <w:bookmarkEnd w:id="108"/>
    <w:bookmarkEnd w:id="10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